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BB4356" w:rsidRPr="00BB4356" w:rsidRDefault="00BB4356" w:rsidP="00BB4356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 w:rsidRPr="00BB4356">
        <w:rPr>
          <w:sz w:val="24"/>
          <w:szCs w:val="26"/>
          <w:u w:val="single"/>
        </w:rPr>
        <w:t xml:space="preserve">Постановка и внедрение методики управления запасами, основанной на решении Теории ограничений «Дистрибуция и закупки для обеспечения наличия» в проектах по логистике и производству и для доработок существующих решений </w:t>
      </w:r>
    </w:p>
    <w:p w:rsidR="00BB4356" w:rsidRPr="00BB4356" w:rsidRDefault="00BB4356" w:rsidP="00BB4356">
      <w:pPr>
        <w:pStyle w:val="a6"/>
        <w:rPr>
          <w:noProof/>
          <w:sz w:val="22"/>
          <w:szCs w:val="24"/>
          <w:lang w:eastAsia="ru-RU"/>
        </w:rPr>
      </w:pPr>
    </w:p>
    <w:p w:rsidR="00AE1D1E" w:rsidRPr="00BB4356" w:rsidRDefault="00AE1D1E" w:rsidP="00BB4356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4"/>
          <w:szCs w:val="26"/>
        </w:rPr>
      </w:pPr>
      <w:r w:rsidRPr="00BB4356">
        <w:rPr>
          <w:noProof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D398C">
        <w:rPr>
          <w:sz w:val="28"/>
          <w:szCs w:val="28"/>
          <w:u w:val="single"/>
          <w:lang w:val="ru-RU"/>
        </w:rPr>
        <w:t>15.09</w:t>
      </w:r>
      <w:r w:rsidR="00674856">
        <w:rPr>
          <w:sz w:val="28"/>
          <w:szCs w:val="28"/>
          <w:u w:val="single"/>
          <w:lang w:val="ru-RU"/>
        </w:rPr>
        <w:t>.22</w:t>
      </w:r>
    </w:p>
    <w:p w:rsidR="00AE1D1E" w:rsidRPr="004F5186" w:rsidRDefault="00AE1D1E" w:rsidP="00AE1D1E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E31A31" w:rsidRDefault="006D398C" w:rsidP="00BB4356">
      <w:pPr>
        <w:numPr>
          <w:ilvl w:val="0"/>
          <w:numId w:val="1"/>
        </w:numPr>
        <w:suppressAutoHyphens/>
        <w:ind w:left="0" w:right="141" w:firstLine="0"/>
        <w:jc w:val="both"/>
        <w:rPr>
          <w:b/>
          <w:noProof/>
          <w:sz w:val="28"/>
          <w:szCs w:val="28"/>
        </w:rPr>
      </w:pPr>
      <w:r>
        <w:rPr>
          <w:noProof/>
          <w:sz w:val="32"/>
          <w:szCs w:val="28"/>
        </w:rPr>
        <w:t>ООО «Центр информационных технологий</w:t>
      </w:r>
      <w:r w:rsidR="00AE1D1E" w:rsidRPr="00BB4356">
        <w:rPr>
          <w:noProof/>
          <w:sz w:val="32"/>
          <w:szCs w:val="28"/>
        </w:rPr>
        <w:t>»</w:t>
      </w:r>
      <w:r w:rsidR="00AE1D1E" w:rsidRPr="00BB4356">
        <w:rPr>
          <w:sz w:val="32"/>
          <w:szCs w:val="28"/>
        </w:rPr>
        <w:t xml:space="preserve"> настоящим информирует о результатах проведения процедуры по закупке на</w:t>
      </w:r>
      <w:r w:rsidR="00E31A31" w:rsidRPr="00BB4356">
        <w:rPr>
          <w:sz w:val="32"/>
          <w:szCs w:val="28"/>
        </w:rPr>
        <w:t xml:space="preserve"> </w:t>
      </w:r>
      <w:r w:rsidR="00E31A31" w:rsidRPr="00BB4356">
        <w:rPr>
          <w:sz w:val="32"/>
          <w:szCs w:val="28"/>
          <w:u w:val="single"/>
        </w:rPr>
        <w:t>«</w:t>
      </w:r>
      <w:r w:rsidR="00BB4356" w:rsidRPr="00BB4356">
        <w:rPr>
          <w:sz w:val="28"/>
          <w:szCs w:val="26"/>
          <w:u w:val="single"/>
        </w:rPr>
        <w:t>Постановка и внедрение методики управления запасами, основанной на решении Теории ограничений «Дистрибуция и закупки для обеспечения наличия» в проектах по логистике и производству и для доработок существующих решений</w:t>
      </w:r>
      <w:r w:rsidR="00E31A31" w:rsidRPr="00BB4356">
        <w:rPr>
          <w:sz w:val="28"/>
          <w:szCs w:val="26"/>
          <w:u w:val="single"/>
        </w:rPr>
        <w:t>»</w:t>
      </w:r>
      <w:r w:rsidR="00E31A31" w:rsidRPr="00BB4356">
        <w:rPr>
          <w:b/>
          <w:noProof/>
          <w:sz w:val="32"/>
          <w:szCs w:val="28"/>
          <w:u w:val="single"/>
        </w:rPr>
        <w:t xml:space="preserve"> </w:t>
      </w:r>
      <w:r w:rsidR="00AE1D1E" w:rsidRPr="00E31A31">
        <w:rPr>
          <w:sz w:val="28"/>
          <w:szCs w:val="28"/>
        </w:rPr>
        <w:t>(наименование предмета закупки).</w:t>
      </w:r>
    </w:p>
    <w:p w:rsidR="00DD1645" w:rsidRDefault="00DD1645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Default="00BB4356" w:rsidP="006D398C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BB4356">
        <w:rPr>
          <w:i/>
          <w:sz w:val="28"/>
          <w:szCs w:val="28"/>
        </w:rPr>
        <w:t>ООО "ВМС СОЛЮШНЗ"</w:t>
      </w:r>
      <w:r w:rsidR="006D398C">
        <w:rPr>
          <w:i/>
          <w:sz w:val="28"/>
          <w:szCs w:val="28"/>
        </w:rPr>
        <w:t>.</w:t>
      </w:r>
    </w:p>
    <w:p w:rsidR="006D398C" w:rsidRPr="00674856" w:rsidRDefault="006D398C" w:rsidP="006D398C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6D398C" w:rsidRDefault="006D398C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  <w:bookmarkStart w:id="0" w:name="_GoBack"/>
      <w:bookmarkEnd w:id="0"/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DD1645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DD1645" w:rsidP="00BB4356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Руководитель проектов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490170" w:rsidRDefault="0069229A" w:rsidP="00D455BA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proofErr w:type="spellStart"/>
            <w:r>
              <w:rPr>
                <w:i/>
                <w:color w:val="000000"/>
                <w:sz w:val="28"/>
                <w:szCs w:val="26"/>
              </w:rPr>
              <w:t>Эл.согл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BB4356" w:rsidRDefault="00674856" w:rsidP="00BB4356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BB4356">
              <w:rPr>
                <w:color w:val="000000"/>
                <w:sz w:val="28"/>
                <w:szCs w:val="26"/>
              </w:rPr>
              <w:t>Петров Д.М.</w:t>
            </w:r>
          </w:p>
        </w:tc>
      </w:tr>
      <w:tr w:rsidR="00DD1645" w:rsidRPr="00137D82" w:rsidTr="00DD1645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8B6137"/>
    <w:multiLevelType w:val="hybridMultilevel"/>
    <w:tmpl w:val="82FEB21E"/>
    <w:lvl w:ilvl="0" w:tplc="B9CA2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302378"/>
    <w:rsid w:val="003237C1"/>
    <w:rsid w:val="004F5186"/>
    <w:rsid w:val="00674856"/>
    <w:rsid w:val="0069229A"/>
    <w:rsid w:val="006D398C"/>
    <w:rsid w:val="008445D9"/>
    <w:rsid w:val="009B5F3C"/>
    <w:rsid w:val="00AE1D1E"/>
    <w:rsid w:val="00B04434"/>
    <w:rsid w:val="00BB4356"/>
    <w:rsid w:val="00D455BA"/>
    <w:rsid w:val="00D74442"/>
    <w:rsid w:val="00DD1645"/>
    <w:rsid w:val="00E31A31"/>
    <w:rsid w:val="00E766C6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7B6D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Меркулова Ольга Юрьевна</cp:lastModifiedBy>
  <cp:revision>2</cp:revision>
  <dcterms:created xsi:type="dcterms:W3CDTF">2022-09-15T07:18:00Z</dcterms:created>
  <dcterms:modified xsi:type="dcterms:W3CDTF">2022-09-15T07:18:00Z</dcterms:modified>
</cp:coreProperties>
</file>